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17"/>
        <w:gridCol w:w="1387"/>
        <w:gridCol w:w="692"/>
        <w:gridCol w:w="1100"/>
        <w:gridCol w:w="741"/>
        <w:gridCol w:w="1316"/>
        <w:gridCol w:w="2264"/>
        <w:gridCol w:w="1363"/>
        <w:gridCol w:w="2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4" w:hRule="atLeast"/>
        </w:trPr>
        <w:tc>
          <w:tcPr>
            <w:tcW w:w="1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附件1：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南华大学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  <w:lang w:eastAsia="zh-CN"/>
              </w:rPr>
              <w:t>2022年非事业编制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highlight w:val="none"/>
                <w:shd w:val="clear" w:fill="FFFFFF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岗位、计划及要求一览表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7" w:colLast="7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松霖建筑与设计艺术学院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设计学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28</w:t>
            </w:r>
            <w:r>
              <w:rPr>
                <w:rStyle w:val="5"/>
                <w:lang w:val="en-US" w:eastAsia="zh-CN" w:bidi="ar"/>
              </w:rPr>
              <w:t>岁及以下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体育教育训练学、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民族传统体育学、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专硕体育学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28</w:t>
            </w:r>
            <w:r>
              <w:rPr>
                <w:rStyle w:val="5"/>
                <w:lang w:val="en-US" w:eastAsia="zh-CN" w:bidi="ar"/>
              </w:rPr>
              <w:t>岁及以下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护理学、护理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28</w:t>
            </w:r>
            <w:r>
              <w:rPr>
                <w:rStyle w:val="5"/>
                <w:lang w:val="en-US" w:eastAsia="zh-CN" w:bidi="ar"/>
              </w:rPr>
              <w:t>岁及以下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会计学、审计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岁及以下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会计审计专业有高校或企事业单位财务或审计工作经验2年及以上者优先。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工程管理、土木工程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本科专业为工程造价、有基建审计工作经验2年及以上优先。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备注：年龄要求28岁以下即1994年1月1日及以后出生，以此类推。</w:t>
            </w:r>
          </w:p>
        </w:tc>
      </w:tr>
    </w:tbl>
    <w:p>
      <w:pPr>
        <w:tabs>
          <w:tab w:val="left" w:pos="215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D506A"/>
    <w:rsid w:val="6C2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2022-04-19T01:54:37Z</dcterms:created>
  <dc:creator>lenovo</dc:creator>
  <cp:lastModifiedBy>lenovo</cp:lastModifiedBy>
  <dcterms:modified xsi:type="dcterms:W3CDTF">2022-04-19T01:55:51Z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